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Sélection professionnelle Orée</w:t>
      </w:r>
    </w:p>
    <w:p>
      <w:r>
        <w:rPr>
          <w:b/>
          <w:color w:val="2155E8"/>
        </w:rPr>
        <w:t>Démonstration fictive CheckPoint360</w:t>
      </w:r>
    </w:p>
    <w:p>
      <w:r>
        <w:t>Pour une boutique qui souhaite comparer des pochettes de rangement. Ce dossier rassemble les dimensions, les prix professionnels et les conditions disponibles pour préparer une demande de proposition. La marque, les références et les conditions sont inventées ; aucune commande ne peut être passée.</w:t>
      </w:r>
    </w:p>
    <w:p>
      <w:pPr>
        <w:pStyle w:val="Heading1"/>
      </w:pPr>
      <w:r>
        <w:t>Comparer les formats</w:t>
      </w:r>
    </w:p>
    <w:tbl>
      <w:tblPr>
        <w:tblW w:type="auto" w:w="0"/>
        <w:jc w:val="center"/>
        <w:tblLayout w:type="fixed"/>
        <w:tblLook w:firstColumn="1" w:firstRow="1" w:lastColumn="0" w:lastRow="0" w:noHBand="0" w:noVBand="1" w:val="04A0"/>
      </w:tblPr>
      <w:tblGrid>
        <w:gridCol w:w="1584"/>
        <w:gridCol w:w="1440"/>
        <w:gridCol w:w="2232"/>
        <w:gridCol w:w="4349"/>
      </w:tblGrid>
      <w:tr>
        <w:trPr>
          <w:tblHeader/>
        </w:trPr>
        <w:tc>
          <w:tcPr>
            <w:tcW w:type="dxa" w:w="1584"/>
            <w:vAlign w:val="center"/>
            <w:tcBorders>
              <w:top w:val="single" w:sz="4" w:color="D9D9D9"/>
              <w:left w:val="single" w:sz="4" w:color="D9D9D9"/>
              <w:bottom w:val="single" w:sz="4" w:color="D9D9D9"/>
              <w:right w:val="single" w:sz="4" w:color="D9D9D9"/>
            </w:tcBorders>
            <w:shd w:fill="214DCB"/>
            <w:tcMar>
              <w:top w:w="90" w:type="dxa"/>
              <w:bottom w:w="90" w:type="dxa"/>
              <w:left w:w="90" w:type="dxa"/>
              <w:right w:w="90" w:type="dxa"/>
            </w:tcMar>
          </w:tcPr>
          <w:p>
            <w:pPr>
              <w:spacing w:after="0" w:line="264" w:lineRule="auto"/>
              <w:jc w:val="center"/>
            </w:pPr>
            <w:r>
              <w:rPr>
                <w:b/>
                <w:color w:val="FFFFFF"/>
                <w:sz w:val="20"/>
              </w:rPr>
              <w:t>Référence</w:t>
            </w:r>
          </w:p>
        </w:tc>
        <w:tc>
          <w:tcPr>
            <w:tcW w:type="dxa" w:w="1440"/>
            <w:vAlign w:val="center"/>
            <w:tcBorders>
              <w:top w:val="single" w:sz="4" w:color="D9D9D9"/>
              <w:left w:val="single" w:sz="4" w:color="D9D9D9"/>
              <w:bottom w:val="single" w:sz="4" w:color="D9D9D9"/>
              <w:right w:val="single" w:sz="4" w:color="D9D9D9"/>
            </w:tcBorders>
            <w:shd w:fill="214DCB"/>
            <w:tcMar>
              <w:top w:w="90" w:type="dxa"/>
              <w:bottom w:w="90" w:type="dxa"/>
              <w:left w:w="90" w:type="dxa"/>
              <w:right w:w="90" w:type="dxa"/>
            </w:tcMar>
          </w:tcPr>
          <w:p>
            <w:pPr>
              <w:spacing w:after="0" w:line="264" w:lineRule="auto"/>
            </w:pPr>
            <w:r>
              <w:rPr>
                <w:b/>
                <w:color w:val="FFFFFF"/>
                <w:sz w:val="20"/>
              </w:rPr>
              <w:t>Couleur</w:t>
            </w:r>
          </w:p>
        </w:tc>
        <w:tc>
          <w:tcPr>
            <w:tcW w:type="dxa" w:w="2232"/>
            <w:vAlign w:val="center"/>
            <w:tcBorders>
              <w:top w:val="single" w:sz="4" w:color="D9D9D9"/>
              <w:left w:val="single" w:sz="4" w:color="D9D9D9"/>
              <w:bottom w:val="single" w:sz="4" w:color="D9D9D9"/>
              <w:right w:val="single" w:sz="4" w:color="D9D9D9"/>
            </w:tcBorders>
            <w:shd w:fill="214DCB"/>
            <w:tcMar>
              <w:top w:w="90" w:type="dxa"/>
              <w:bottom w:w="90" w:type="dxa"/>
              <w:left w:w="90" w:type="dxa"/>
              <w:right w:w="90" w:type="dxa"/>
            </w:tcMar>
          </w:tcPr>
          <w:p>
            <w:pPr>
              <w:spacing w:after="0" w:line="264" w:lineRule="auto"/>
              <w:jc w:val="center"/>
            </w:pPr>
            <w:r>
              <w:rPr>
                <w:b/>
                <w:color w:val="FFFFFF"/>
                <w:sz w:val="20"/>
              </w:rPr>
              <w:t>Dimensions</w:t>
            </w:r>
          </w:p>
        </w:tc>
        <w:tc>
          <w:tcPr>
            <w:tcW w:type="dxa" w:w="4349"/>
            <w:vAlign w:val="center"/>
            <w:tcBorders>
              <w:top w:val="single" w:sz="4" w:color="D9D9D9"/>
              <w:left w:val="single" w:sz="4" w:color="D9D9D9"/>
              <w:bottom w:val="single" w:sz="4" w:color="D9D9D9"/>
              <w:right w:val="single" w:sz="4" w:color="D9D9D9"/>
            </w:tcBorders>
            <w:shd w:fill="214DCB"/>
            <w:tcMar>
              <w:top w:w="90" w:type="dxa"/>
              <w:bottom w:w="90" w:type="dxa"/>
              <w:left w:w="90" w:type="dxa"/>
              <w:right w:w="90" w:type="dxa"/>
            </w:tcMar>
          </w:tcPr>
          <w:p>
            <w:pPr>
              <w:spacing w:after="0" w:line="264" w:lineRule="auto"/>
              <w:jc w:val="center"/>
            </w:pPr>
            <w:r>
              <w:rPr>
                <w:b/>
                <w:color w:val="FFFFFF"/>
                <w:sz w:val="20"/>
              </w:rPr>
              <w:t>Prix fictif HT</w:t>
            </w:r>
          </w:p>
        </w:tc>
      </w:tr>
      <w:tr>
        <w:tc>
          <w:tcPr>
            <w:tcW w:type="dxa" w:w="1584"/>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jc w:val="center"/>
            </w:pPr>
            <w:r>
              <w:rPr>
                <w:b w:val="0"/>
                <w:color w:val="172333"/>
                <w:sz w:val="20"/>
              </w:rPr>
              <w:t>OR-01</w:t>
            </w:r>
          </w:p>
        </w:tc>
        <w:tc>
          <w:tcPr>
            <w:tcW w:type="dxa" w:w="1440"/>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pPr>
            <w:r>
              <w:rPr>
                <w:b w:val="0"/>
                <w:color w:val="172333"/>
                <w:sz w:val="20"/>
              </w:rPr>
              <w:t>Sable</w:t>
            </w:r>
          </w:p>
        </w:tc>
        <w:tc>
          <w:tcPr>
            <w:tcW w:type="dxa" w:w="2232"/>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jc w:val="center"/>
            </w:pPr>
            <w:r>
              <w:rPr>
                <w:b w:val="0"/>
                <w:color w:val="172333"/>
                <w:sz w:val="20"/>
              </w:rPr>
              <w:t>15 × 22 cm</w:t>
            </w:r>
          </w:p>
        </w:tc>
        <w:tc>
          <w:tcPr>
            <w:tcW w:type="dxa" w:w="4349"/>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jc w:val="center"/>
            </w:pPr>
            <w:r>
              <w:rPr>
                <w:b w:val="0"/>
                <w:color w:val="172333"/>
                <w:sz w:val="20"/>
              </w:rPr>
              <w:t>14,00 €</w:t>
            </w:r>
          </w:p>
        </w:tc>
      </w:tr>
      <w:tr>
        <w:tc>
          <w:tcPr>
            <w:tcW w:type="dxa" w:w="1584"/>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jc w:val="center"/>
            </w:pPr>
            <w:r>
              <w:rPr>
                <w:b w:val="0"/>
                <w:color w:val="172333"/>
                <w:sz w:val="20"/>
              </w:rPr>
              <w:t>OR-02</w:t>
            </w:r>
          </w:p>
        </w:tc>
        <w:tc>
          <w:tcPr>
            <w:tcW w:type="dxa" w:w="1440"/>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pPr>
            <w:r>
              <w:rPr>
                <w:b w:val="0"/>
                <w:color w:val="172333"/>
                <w:sz w:val="20"/>
              </w:rPr>
              <w:t>Prune</w:t>
            </w:r>
          </w:p>
        </w:tc>
        <w:tc>
          <w:tcPr>
            <w:tcW w:type="dxa" w:w="2232"/>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jc w:val="center"/>
            </w:pPr>
            <w:r>
              <w:rPr>
                <w:b w:val="0"/>
                <w:color w:val="172333"/>
                <w:sz w:val="20"/>
              </w:rPr>
              <w:t>18 × 26 cm</w:t>
            </w:r>
          </w:p>
        </w:tc>
        <w:tc>
          <w:tcPr>
            <w:tcW w:type="dxa" w:w="4349"/>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jc w:val="center"/>
            </w:pPr>
            <w:r>
              <w:rPr>
                <w:b w:val="0"/>
                <w:color w:val="172333"/>
                <w:sz w:val="20"/>
              </w:rPr>
              <w:t>16,00 €</w:t>
            </w:r>
          </w:p>
        </w:tc>
      </w:tr>
      <w:tr>
        <w:tc>
          <w:tcPr>
            <w:tcW w:type="dxa" w:w="1584"/>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jc w:val="center"/>
            </w:pPr>
            <w:r>
              <w:rPr>
                <w:b w:val="0"/>
                <w:color w:val="172333"/>
                <w:sz w:val="20"/>
              </w:rPr>
              <w:t>OR-03</w:t>
            </w:r>
          </w:p>
        </w:tc>
        <w:tc>
          <w:tcPr>
            <w:tcW w:type="dxa" w:w="1440"/>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pPr>
            <w:r>
              <w:rPr>
                <w:b w:val="0"/>
                <w:color w:val="172333"/>
                <w:sz w:val="20"/>
              </w:rPr>
              <w:t>Nuit</w:t>
            </w:r>
          </w:p>
        </w:tc>
        <w:tc>
          <w:tcPr>
            <w:tcW w:type="dxa" w:w="2232"/>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jc w:val="center"/>
            </w:pPr>
            <w:r>
              <w:rPr>
                <w:b w:val="0"/>
                <w:color w:val="172333"/>
                <w:sz w:val="20"/>
              </w:rPr>
              <w:t>12 × 18 cm</w:t>
            </w:r>
          </w:p>
        </w:tc>
        <w:tc>
          <w:tcPr>
            <w:tcW w:type="dxa" w:w="4349"/>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jc w:val="center"/>
            </w:pPr>
            <w:r>
              <w:rPr>
                <w:b w:val="0"/>
                <w:color w:val="172333"/>
                <w:sz w:val="20"/>
              </w:rPr>
              <w:t>12,00 €</w:t>
            </w:r>
          </w:p>
        </w:tc>
      </w:tr>
      <w:tr>
        <w:tc>
          <w:tcPr>
            <w:tcW w:type="dxa" w:w="1584"/>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jc w:val="center"/>
            </w:pPr>
            <w:r>
              <w:rPr>
                <w:b w:val="0"/>
                <w:color w:val="172333"/>
                <w:sz w:val="20"/>
              </w:rPr>
              <w:t>OR-04</w:t>
            </w:r>
          </w:p>
        </w:tc>
        <w:tc>
          <w:tcPr>
            <w:tcW w:type="dxa" w:w="1440"/>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pPr>
            <w:r>
              <w:rPr>
                <w:b w:val="0"/>
                <w:color w:val="172333"/>
                <w:sz w:val="20"/>
              </w:rPr>
              <w:t>Sable</w:t>
            </w:r>
          </w:p>
        </w:tc>
        <w:tc>
          <w:tcPr>
            <w:tcW w:type="dxa" w:w="2232"/>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jc w:val="center"/>
            </w:pPr>
            <w:r>
              <w:rPr>
                <w:b w:val="0"/>
                <w:color w:val="172333"/>
                <w:sz w:val="20"/>
              </w:rPr>
              <w:t>15 × 22 cm</w:t>
            </w:r>
          </w:p>
        </w:tc>
        <w:tc>
          <w:tcPr>
            <w:tcW w:type="dxa" w:w="4349"/>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jc w:val="center"/>
            </w:pPr>
            <w:r>
              <w:rPr>
                <w:b w:val="0"/>
                <w:color w:val="172333"/>
                <w:sz w:val="20"/>
              </w:rPr>
              <w:t>14,00 €</w:t>
            </w:r>
          </w:p>
        </w:tc>
      </w:tr>
      <w:tr>
        <w:tc>
          <w:tcPr>
            <w:tcW w:type="dxa" w:w="1584"/>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jc w:val="center"/>
            </w:pPr>
            <w:r>
              <w:rPr>
                <w:b w:val="0"/>
                <w:color w:val="172333"/>
                <w:sz w:val="20"/>
              </w:rPr>
              <w:t>OR-05</w:t>
            </w:r>
          </w:p>
        </w:tc>
        <w:tc>
          <w:tcPr>
            <w:tcW w:type="dxa" w:w="1440"/>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pPr>
            <w:r>
              <w:rPr>
                <w:b w:val="0"/>
                <w:color w:val="172333"/>
                <w:sz w:val="20"/>
              </w:rPr>
              <w:t>Prune</w:t>
            </w:r>
          </w:p>
        </w:tc>
        <w:tc>
          <w:tcPr>
            <w:tcW w:type="dxa" w:w="2232"/>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jc w:val="center"/>
            </w:pPr>
            <w:r>
              <w:rPr>
                <w:b w:val="0"/>
                <w:color w:val="172333"/>
                <w:sz w:val="20"/>
              </w:rPr>
              <w:t>18 × 26 cm</w:t>
            </w:r>
          </w:p>
        </w:tc>
        <w:tc>
          <w:tcPr>
            <w:tcW w:type="dxa" w:w="4349"/>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jc w:val="center"/>
            </w:pPr>
            <w:r>
              <w:rPr>
                <w:b w:val="0"/>
                <w:color w:val="172333"/>
                <w:sz w:val="20"/>
              </w:rPr>
              <w:t>16,00 €</w:t>
            </w:r>
          </w:p>
        </w:tc>
      </w:tr>
      <w:tr>
        <w:tc>
          <w:tcPr>
            <w:tcW w:type="dxa" w:w="1584"/>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jc w:val="center"/>
            </w:pPr>
            <w:r>
              <w:rPr>
                <w:b w:val="0"/>
                <w:color w:val="172333"/>
                <w:sz w:val="20"/>
              </w:rPr>
              <w:t>OR-06</w:t>
            </w:r>
          </w:p>
        </w:tc>
        <w:tc>
          <w:tcPr>
            <w:tcW w:type="dxa" w:w="1440"/>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pPr>
            <w:r>
              <w:rPr>
                <w:b w:val="0"/>
                <w:color w:val="172333"/>
                <w:sz w:val="20"/>
              </w:rPr>
              <w:t>Nuit</w:t>
            </w:r>
          </w:p>
        </w:tc>
        <w:tc>
          <w:tcPr>
            <w:tcW w:type="dxa" w:w="2232"/>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jc w:val="center"/>
            </w:pPr>
            <w:r>
              <w:rPr>
                <w:b w:val="0"/>
                <w:color w:val="172333"/>
                <w:sz w:val="20"/>
              </w:rPr>
              <w:t>12 × 18 cm</w:t>
            </w:r>
          </w:p>
        </w:tc>
        <w:tc>
          <w:tcPr>
            <w:tcW w:type="dxa" w:w="4349"/>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jc w:val="center"/>
            </w:pPr>
            <w:r>
              <w:rPr>
                <w:b w:val="0"/>
                <w:color w:val="172333"/>
                <w:sz w:val="20"/>
              </w:rPr>
              <w:t>12,00 €</w:t>
            </w:r>
          </w:p>
        </w:tc>
      </w:tr>
    </w:tbl>
    <w:p>
      <w:pPr>
        <w:spacing w:before="200"/>
      </w:pPr>
      <w:r>
        <w:t>Toutes les références sont en coton, avec une fermeture par cordon. OR-04 à OR-06 reprennent les trois formats pour illustrer un catalogue de six lignes ; elles ne constituent pas de nouveaux bénéfices produit.</w:t>
      </w:r>
    </w:p>
    <w:p>
      <w:pPr>
        <w:pStyle w:val="Heading1"/>
      </w:pPr>
      <w:r>
        <w:t>Conditions avant toute proposition</w:t>
      </w:r>
    </w:p>
    <w:p>
      <w:r>
        <w:t>Minimum fictif de six unités par référence. Prix hors taxes. Stock, transport, délai, modalités de règlement et conditions de retour à confirmer avec la marque avant tout engagement. Ce document ne vaut ni devis ni réservation.</w:t>
      </w:r>
    </w:p>
    <w:p>
      <w:pPr>
        <w:pStyle w:val="Heading1"/>
      </w:pPr>
      <w:r>
        <w:t>Choisir la prochaine action</w:t>
      </w:r>
    </w:p>
    <w:p>
      <w:r>
        <w:t>Repérez les références et quantités qui pourraient correspondre à votre assortiment. Une proposition ne pourra être préparée qu’après confirmation des informations manquantes. Aucun bénéfice sanitaire, protecteur ou de compatibilité avec un produit particulier n’est affirmé.</w:t>
      </w:r>
    </w:p>
    <w:p>
      <w:r>
        <w:br w:type="page"/>
      </w:r>
    </w:p>
    <w:p>
      <w:pPr>
        <w:pStyle w:val="Heading1"/>
      </w:pPr>
      <w:r>
        <w:t>Messages préparés pour la marque</w:t>
      </w:r>
    </w:p>
    <w:p>
      <w:r>
        <w:t>Ces textes sont modifiables. Ils illustrent le travail livré à la marque et n’ont pas été envoyés.</w:t>
      </w:r>
    </w:p>
    <w:p>
      <w:pPr>
        <w:pStyle w:val="Heading2"/>
      </w:pPr>
      <w:r>
        <w:t>Présentation de la sélection</w:t>
      </w:r>
    </w:p>
    <w:p>
      <w:r>
        <w:t>Bonjour,</w:t>
      </w:r>
    </w:p>
    <w:p>
      <w:r>
        <w:t>Voici notre sélection de pochettes Orée, organisée par format et couleur. Le tableau réunit les dimensions et les conditions disponibles. Si certaines références correspondent à votre assortiment, indiquez lesquelles et les quantités envisagées : nous préparerons une proposition après confirmation des disponibilités et du transport.</w:t>
      </w:r>
    </w:p>
    <w:p>
      <w:pPr>
        <w:pStyle w:val="Heading2"/>
      </w:pPr>
      <w:r>
        <w:t>Réponse sur la disponibilité</w:t>
      </w:r>
    </w:p>
    <w:p>
      <w:r>
        <w:t>Les références demandées sont notées. Leur disponibilité et le délai doivent encore être confirmés ; nous ne pouvons pas annoncer une date ferme à ce stade. Nous reviendrons vers vous lorsque ces informations seront vérifiées.</w:t>
      </w:r>
    </w:p>
    <w:p>
      <w:pPr>
        <w:pStyle w:val="Heading2"/>
      </w:pPr>
      <w:r>
        <w:t>Réponse sur la compatibilité</w:t>
      </w:r>
    </w:p>
    <w:p>
      <w:r>
        <w:t>Nous disposons des dimensions indiquées dans le tableau. Nous n’avons pas de validation de compatibilité avec votre produit ; cette information reste à vérifier avant de vous la confirmer.</w:t>
      </w:r>
    </w:p>
    <w:p>
      <w:pPr>
        <w:pStyle w:val="Heading2"/>
      </w:pPr>
      <w:r>
        <w:t>Remise et contrôle</w:t>
      </w:r>
    </w:p>
    <w:p>
      <w:r>
        <w:t>Après modification, comparer systématiquement les six références, leurs dimensions, leurs prix et les conditions entre la source, le document et son PDF.</w:t>
      </w:r>
    </w:p>
    <w:p>
      <w:r>
        <w:t>La marque garde les décisions sur les données produit, les prix, la disponibilité, les conditions de vente, les destinataires et l’accord d’envoi. CheckPoint360 prépare le support et signale les inconnues ; aucune confirmation fournisseur n’est inventée dans une mission réelle.</w:t>
      </w:r>
    </w:p>
    <w:sectPr w:rsidR="00FC693F" w:rsidRPr="0006063C" w:rsidSect="00034616">
      <w:footerReference w:type="default" r:id="rId9"/>
      <w:pgSz w:w="11909" w:h="16834"/>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E6671"/>
        <w:sz w:val="16"/>
      </w:rPr>
      <w:t>Démonstration fictive CheckPoint360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1" w:lineRule="auto"/>
    </w:pPr>
    <w:rPr>
      <w:rFonts w:ascii="Arial" w:hAnsi="Arial"/>
      <w:color w:val="000000"/>
      <w:sz w:val="21"/>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Sélection professionnelle Orée</dc:title>
  <dc:subject>Démonstration fictive CheckPoint360</dc:subject>
  <dc:creator>CheckPoint360</dc:creator>
  <cp:keywords/>
  <dc:description>generated by python-docx</dc:description>
  <cp:lastModifiedBy/>
  <cp:revision>1</cp:revision>
  <dcterms:created xsi:type="dcterms:W3CDTF">2013-12-23T23:15:00Z</dcterms:created>
  <dcterms:modified xsi:type="dcterms:W3CDTF">2013-12-23T23:15:00Z</dcterms:modified>
  <cp:category/>
</cp:coreProperties>
</file>